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E77" w:rsidRDefault="00133B1B">
      <w:pPr>
        <w:spacing w:after="200" w:line="276" w:lineRule="exact"/>
        <w:ind w:right="-142"/>
        <w:jc w:val="center"/>
        <w:rPr>
          <w:rFonts w:ascii="Calibri" w:eastAsia="Calibri" w:hAnsi="Calibri" w:cs="Calibri"/>
          <w:b/>
          <w:color w:val="00000A"/>
          <w:sz w:val="28"/>
          <w:shd w:val="clear" w:color="auto" w:fill="FFFFFF"/>
        </w:rPr>
      </w:pPr>
      <w:r>
        <w:rPr>
          <w:rFonts w:ascii="Calibri" w:eastAsia="Calibri" w:hAnsi="Calibri" w:cs="Calibri"/>
          <w:b/>
          <w:color w:val="00000A"/>
          <w:sz w:val="28"/>
          <w:shd w:val="clear" w:color="auto" w:fill="FFFFFF"/>
        </w:rPr>
        <w:t>Procès-Verbal du concours externe CAPESA ESC, session 2016</w:t>
      </w:r>
    </w:p>
    <w:p w:rsidR="00017E77" w:rsidRDefault="00133B1B">
      <w:pPr>
        <w:spacing w:after="200" w:line="276" w:lineRule="exact"/>
        <w:jc w:val="center"/>
        <w:rPr>
          <w:rFonts w:ascii="Calibri" w:eastAsia="Calibri" w:hAnsi="Calibri" w:cs="Calibri"/>
          <w:b/>
          <w:color w:val="00000A"/>
          <w:sz w:val="28"/>
          <w:shd w:val="clear" w:color="auto" w:fill="FFFFFF"/>
        </w:rPr>
      </w:pPr>
      <w:r>
        <w:rPr>
          <w:rFonts w:ascii="Calibri" w:eastAsia="Calibri" w:hAnsi="Calibri" w:cs="Calibri"/>
          <w:b/>
          <w:color w:val="00000A"/>
          <w:sz w:val="28"/>
          <w:shd w:val="clear" w:color="auto" w:fill="FFFFFF"/>
        </w:rPr>
        <w:t>Première épreuve d’admissibilité : culture disciplinaire</w:t>
      </w:r>
    </w:p>
    <w:p w:rsidR="00017E77" w:rsidRDefault="00017E77">
      <w:pPr>
        <w:spacing w:after="200" w:line="276" w:lineRule="exact"/>
        <w:jc w:val="both"/>
        <w:rPr>
          <w:rFonts w:ascii="Calibri" w:eastAsia="Calibri" w:hAnsi="Calibri" w:cs="Calibri"/>
          <w:i/>
          <w:color w:val="00000A"/>
          <w:shd w:val="clear" w:color="auto" w:fill="FFFFFF"/>
        </w:rPr>
      </w:pPr>
    </w:p>
    <w:p w:rsidR="00017E77" w:rsidRDefault="00133B1B">
      <w:pPr>
        <w:spacing w:after="0" w:line="240" w:lineRule="exact"/>
        <w:jc w:val="both"/>
        <w:rPr>
          <w:rFonts w:ascii="Calibri" w:eastAsia="Calibri" w:hAnsi="Calibri" w:cs="Calibri"/>
          <w:i/>
          <w:color w:val="00000A"/>
          <w:shd w:val="clear" w:color="auto" w:fill="FFFFFF"/>
        </w:rPr>
      </w:pPr>
      <w:r>
        <w:rPr>
          <w:rFonts w:ascii="Calibri" w:eastAsia="Calibri" w:hAnsi="Calibri" w:cs="Calibri"/>
          <w:i/>
          <w:color w:val="00000A"/>
          <w:shd w:val="clear" w:color="auto" w:fill="FFFFFF"/>
        </w:rPr>
        <w:t>Conformément à l’arrêté et à la note de service SG/SRH/SDDPRS/2015-931 du 04 novembre 2015, la première épreuve écrite d’admissibilité est</w:t>
      </w:r>
      <w:r>
        <w:rPr>
          <w:rFonts w:ascii="Calibri" w:eastAsia="Calibri" w:hAnsi="Calibri" w:cs="Calibri"/>
          <w:i/>
          <w:color w:val="00000A"/>
          <w:shd w:val="clear" w:color="auto" w:fill="FFFFFF"/>
        </w:rPr>
        <w:t xml:space="preserve"> une épreuve de culture disciplinaire qui vise à apprécier les connaissances des candidats dans la discipline concernée.</w:t>
      </w:r>
    </w:p>
    <w:p w:rsidR="00017E77" w:rsidRDefault="00017E77">
      <w:pPr>
        <w:spacing w:after="200" w:line="276" w:lineRule="exact"/>
        <w:jc w:val="both"/>
        <w:rPr>
          <w:rFonts w:ascii="Calibri" w:eastAsia="Calibri" w:hAnsi="Calibri" w:cs="Calibri"/>
          <w:color w:val="00000A"/>
          <w:shd w:val="clear" w:color="auto" w:fill="FFFFFF"/>
        </w:rPr>
      </w:pPr>
    </w:p>
    <w:p w:rsidR="00017E77" w:rsidRDefault="00133B1B">
      <w:pPr>
        <w:tabs>
          <w:tab w:val="left" w:pos="7843"/>
        </w:tabs>
        <w:spacing w:after="120" w:line="276" w:lineRule="exact"/>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Le sujet pouvait sembler facile a priori, ou en tous cas permettait à chacun d’exprimer un point de vue. En contrepartie, la formulati</w:t>
      </w:r>
      <w:r>
        <w:rPr>
          <w:rFonts w:ascii="Calibri" w:eastAsia="Calibri" w:hAnsi="Calibri" w:cs="Calibri"/>
          <w:color w:val="00000A"/>
          <w:shd w:val="clear" w:color="auto" w:fill="FFFFFF"/>
        </w:rPr>
        <w:t>on d’idées reçues, de stéréotypes a pu être naturellement favorisée. Les candidats ayant choisie une approche nuancée, argumentée et enrichie de références théoriques ont donc été valorisés.</w:t>
      </w:r>
    </w:p>
    <w:p w:rsidR="00017E77" w:rsidRDefault="00017E77">
      <w:pPr>
        <w:spacing w:after="120" w:line="276" w:lineRule="exact"/>
        <w:jc w:val="both"/>
        <w:rPr>
          <w:rFonts w:hint="eastAsia"/>
        </w:rPr>
      </w:pPr>
    </w:p>
    <w:p w:rsidR="00017E77" w:rsidRDefault="00017E77">
      <w:pPr>
        <w:spacing w:after="120" w:line="276" w:lineRule="exact"/>
        <w:jc w:val="both"/>
        <w:rPr>
          <w:rFonts w:hint="eastAsia"/>
        </w:rPr>
      </w:pPr>
    </w:p>
    <w:p w:rsidR="00017E77" w:rsidRDefault="00133B1B">
      <w:pPr>
        <w:numPr>
          <w:ilvl w:val="0"/>
          <w:numId w:val="1"/>
        </w:numPr>
        <w:tabs>
          <w:tab w:val="left" w:pos="720"/>
        </w:tabs>
        <w:spacing w:after="0" w:line="240" w:lineRule="exact"/>
        <w:jc w:val="both"/>
        <w:rPr>
          <w:rFonts w:ascii="Calibri" w:eastAsia="Calibri" w:hAnsi="Calibri" w:cs="Calibri"/>
          <w:b/>
          <w:color w:val="339966"/>
          <w:shd w:val="clear" w:color="auto" w:fill="FFFFFF"/>
        </w:rPr>
      </w:pPr>
      <w:r>
        <w:rPr>
          <w:rFonts w:ascii="Calibri" w:eastAsia="Calibri" w:hAnsi="Calibri" w:cs="Calibri"/>
          <w:b/>
          <w:color w:val="339966"/>
          <w:shd w:val="clear" w:color="auto" w:fill="FFFFFF"/>
        </w:rPr>
        <w:t>Exposé de la problématique</w:t>
      </w:r>
    </w:p>
    <w:p w:rsidR="00017E77" w:rsidRDefault="00017E77">
      <w:pPr>
        <w:spacing w:after="0" w:line="276" w:lineRule="exact"/>
        <w:jc w:val="both"/>
        <w:rPr>
          <w:rFonts w:hint="eastAsia"/>
        </w:rPr>
      </w:pPr>
    </w:p>
    <w:p w:rsidR="00017E77" w:rsidRDefault="00133B1B">
      <w:pPr>
        <w:spacing w:after="0" w:line="276" w:lineRule="exact"/>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La présentation de la problématique</w:t>
      </w:r>
      <w:r>
        <w:rPr>
          <w:rFonts w:ascii="Calibri" w:eastAsia="Calibri" w:hAnsi="Calibri" w:cs="Calibri"/>
          <w:color w:val="00000A"/>
          <w:shd w:val="clear" w:color="auto" w:fill="FFFFFF"/>
        </w:rPr>
        <w:t xml:space="preserve"> a souvent fait défaut, et parfois vient tard dans la copie. On observe que celles des copies qui font l’effort de poser une problématique équilibrée dès le début sont globalement de meilleur niveau.</w:t>
      </w:r>
    </w:p>
    <w:p w:rsidR="00017E77" w:rsidRDefault="00017E77">
      <w:pPr>
        <w:spacing w:after="0" w:line="276" w:lineRule="exact"/>
        <w:jc w:val="both"/>
        <w:rPr>
          <w:rFonts w:hint="eastAsia"/>
        </w:rPr>
      </w:pPr>
    </w:p>
    <w:p w:rsidR="00017E77" w:rsidRDefault="00133B1B">
      <w:pPr>
        <w:numPr>
          <w:ilvl w:val="0"/>
          <w:numId w:val="2"/>
        </w:numPr>
        <w:tabs>
          <w:tab w:val="left" w:pos="720"/>
        </w:tabs>
        <w:spacing w:after="0" w:line="240" w:lineRule="exact"/>
        <w:jc w:val="both"/>
        <w:rPr>
          <w:rFonts w:ascii="Calibri" w:eastAsia="Calibri" w:hAnsi="Calibri" w:cs="Calibri"/>
          <w:b/>
          <w:color w:val="339966"/>
          <w:shd w:val="clear" w:color="auto" w:fill="FFFFFF"/>
        </w:rPr>
      </w:pPr>
      <w:r>
        <w:rPr>
          <w:rFonts w:ascii="Calibri" w:eastAsia="Calibri" w:hAnsi="Calibri" w:cs="Calibri"/>
          <w:b/>
          <w:color w:val="339966"/>
          <w:shd w:val="clear" w:color="auto" w:fill="FFFFFF"/>
        </w:rPr>
        <w:t>Qualité et pertinence des référents culturels</w:t>
      </w:r>
    </w:p>
    <w:p w:rsidR="00017E77" w:rsidRDefault="00017E77">
      <w:pPr>
        <w:spacing w:after="0" w:line="276" w:lineRule="exact"/>
        <w:jc w:val="both"/>
        <w:rPr>
          <w:rFonts w:hint="eastAsia"/>
        </w:rPr>
      </w:pPr>
    </w:p>
    <w:p w:rsidR="00017E77" w:rsidRDefault="00133B1B">
      <w:pPr>
        <w:spacing w:after="0" w:line="276" w:lineRule="exact"/>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 xml:space="preserve">Il </w:t>
      </w:r>
      <w:r>
        <w:rPr>
          <w:rFonts w:ascii="Calibri" w:eastAsia="Calibri" w:hAnsi="Calibri" w:cs="Calibri"/>
          <w:color w:val="00000A"/>
          <w:shd w:val="clear" w:color="auto" w:fill="FFFFFF"/>
        </w:rPr>
        <w:t>s’agit  du critère sur lequel les candidats récoltent le moins de points. Le sujet permettait pourtant de faire référence à de nombreux théoriciens historiques de la communication, mais aussi à des événements d’actualité ou à des tendances</w:t>
      </w:r>
      <w:r>
        <w:rPr>
          <w:rFonts w:ascii="Calibri" w:eastAsia="Calibri" w:hAnsi="Calibri" w:cs="Calibri"/>
          <w:color w:val="00000A"/>
          <w:shd w:val="clear" w:color="auto" w:fill="FFFFFF"/>
        </w:rPr>
        <w:t xml:space="preserve"> de fond en prise </w:t>
      </w:r>
      <w:r>
        <w:rPr>
          <w:rFonts w:ascii="Calibri" w:eastAsia="Calibri" w:hAnsi="Calibri" w:cs="Calibri"/>
          <w:color w:val="00000A"/>
          <w:shd w:val="clear" w:color="auto" w:fill="FFFFFF"/>
        </w:rPr>
        <w:t>avec le contexte contemporain.</w:t>
      </w:r>
    </w:p>
    <w:p w:rsidR="00017E77" w:rsidRDefault="00017E77">
      <w:pPr>
        <w:spacing w:after="0" w:line="276" w:lineRule="exact"/>
        <w:jc w:val="both"/>
        <w:rPr>
          <w:rFonts w:hint="eastAsia"/>
        </w:rPr>
      </w:pPr>
    </w:p>
    <w:p w:rsidR="00017E77" w:rsidRDefault="00133B1B">
      <w:pPr>
        <w:numPr>
          <w:ilvl w:val="0"/>
          <w:numId w:val="3"/>
        </w:numPr>
        <w:tabs>
          <w:tab w:val="left" w:pos="720"/>
        </w:tabs>
        <w:spacing w:after="0" w:line="240" w:lineRule="exact"/>
        <w:jc w:val="both"/>
        <w:rPr>
          <w:rFonts w:ascii="Calibri" w:eastAsia="Calibri" w:hAnsi="Calibri" w:cs="Calibri"/>
          <w:b/>
          <w:color w:val="339966"/>
          <w:shd w:val="clear" w:color="auto" w:fill="FFFFFF"/>
        </w:rPr>
      </w:pPr>
      <w:bookmarkStart w:id="0" w:name="__DdeLink__223_725459332"/>
      <w:bookmarkEnd w:id="0"/>
      <w:r>
        <w:rPr>
          <w:rFonts w:ascii="Calibri" w:eastAsia="Calibri" w:hAnsi="Calibri" w:cs="Calibri"/>
          <w:b/>
          <w:color w:val="339966"/>
          <w:shd w:val="clear" w:color="auto" w:fill="FFFFFF"/>
        </w:rPr>
        <w:t>Richesse de l’analyse, de la réflexion et de l’</w:t>
      </w:r>
      <w:bookmarkStart w:id="1" w:name="_GoBack"/>
      <w:bookmarkEnd w:id="1"/>
      <w:r>
        <w:rPr>
          <w:rFonts w:ascii="Calibri" w:eastAsia="Calibri" w:hAnsi="Calibri" w:cs="Calibri"/>
          <w:b/>
          <w:color w:val="339966"/>
          <w:shd w:val="clear" w:color="auto" w:fill="FFFFFF"/>
        </w:rPr>
        <w:t>argumentation</w:t>
      </w:r>
    </w:p>
    <w:p w:rsidR="00017E77" w:rsidRDefault="00017E77">
      <w:pPr>
        <w:tabs>
          <w:tab w:val="left" w:pos="1146"/>
        </w:tabs>
        <w:spacing w:after="0" w:line="240" w:lineRule="exact"/>
        <w:ind w:left="-43"/>
        <w:jc w:val="both"/>
        <w:rPr>
          <w:rFonts w:hint="eastAsia"/>
          <w:color w:val="000000"/>
        </w:rPr>
      </w:pPr>
    </w:p>
    <w:p w:rsidR="00017E77" w:rsidRDefault="00133B1B">
      <w:pPr>
        <w:tabs>
          <w:tab w:val="left" w:pos="1146"/>
        </w:tabs>
        <w:spacing w:after="0" w:line="240" w:lineRule="exact"/>
        <w:ind w:left="-43"/>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 xml:space="preserve">Si les candidats font globalement l’effort d’un plan structuré, le plus souvent de manière dialectique, les arguments au service des thèses avancées ou réfléchies </w:t>
      </w:r>
      <w:r>
        <w:rPr>
          <w:rFonts w:ascii="Calibri" w:eastAsia="Calibri" w:hAnsi="Calibri" w:cs="Calibri"/>
          <w:color w:val="000000"/>
          <w:shd w:val="clear" w:color="auto" w:fill="FFFFFF"/>
        </w:rPr>
        <w:t>ne sont globalement pas assez étoffés.</w:t>
      </w:r>
    </w:p>
    <w:p w:rsidR="00017E77" w:rsidRDefault="00017E77">
      <w:pPr>
        <w:tabs>
          <w:tab w:val="left" w:pos="1146"/>
        </w:tabs>
        <w:spacing w:after="0" w:line="240" w:lineRule="exact"/>
        <w:ind w:left="-43"/>
        <w:jc w:val="both"/>
        <w:rPr>
          <w:rFonts w:hint="eastAsia"/>
        </w:rPr>
      </w:pPr>
    </w:p>
    <w:p w:rsidR="00017E77" w:rsidRDefault="00017E77">
      <w:pPr>
        <w:tabs>
          <w:tab w:val="left" w:pos="720"/>
        </w:tabs>
        <w:spacing w:after="0" w:line="240" w:lineRule="exact"/>
        <w:ind w:left="360"/>
        <w:jc w:val="both"/>
        <w:rPr>
          <w:rFonts w:hint="eastAsia"/>
        </w:rPr>
      </w:pPr>
    </w:p>
    <w:p w:rsidR="00017E77" w:rsidRDefault="00133B1B">
      <w:pPr>
        <w:numPr>
          <w:ilvl w:val="0"/>
          <w:numId w:val="3"/>
        </w:numPr>
        <w:tabs>
          <w:tab w:val="left" w:pos="720"/>
        </w:tabs>
        <w:spacing w:after="0" w:line="240" w:lineRule="exact"/>
        <w:jc w:val="both"/>
        <w:rPr>
          <w:rFonts w:ascii="Calibri" w:eastAsia="Calibri" w:hAnsi="Calibri" w:cs="Calibri"/>
          <w:b/>
          <w:color w:val="339966"/>
          <w:shd w:val="clear" w:color="auto" w:fill="FFFFFF"/>
        </w:rPr>
      </w:pPr>
      <w:r>
        <w:rPr>
          <w:rFonts w:ascii="Calibri" w:eastAsia="Calibri" w:hAnsi="Calibri" w:cs="Calibri"/>
          <w:b/>
          <w:color w:val="339966"/>
          <w:shd w:val="clear" w:color="auto" w:fill="FFFFFF"/>
        </w:rPr>
        <w:t>Qualité de l’expression et de la communication</w:t>
      </w:r>
    </w:p>
    <w:p w:rsidR="00017E77" w:rsidRDefault="00017E77">
      <w:pPr>
        <w:tabs>
          <w:tab w:val="left" w:pos="1050"/>
        </w:tabs>
        <w:spacing w:after="0" w:line="240" w:lineRule="exact"/>
        <w:jc w:val="both"/>
        <w:rPr>
          <w:rFonts w:hint="eastAsia"/>
          <w:color w:val="000000"/>
        </w:rPr>
      </w:pPr>
    </w:p>
    <w:p w:rsidR="00017E77" w:rsidRDefault="00133B1B">
      <w:pPr>
        <w:tabs>
          <w:tab w:val="left" w:pos="720"/>
        </w:tabs>
        <w:spacing w:after="0" w:line="240" w:lineRule="exact"/>
        <w:ind w:left="-32"/>
        <w:jc w:val="both"/>
        <w:rPr>
          <w:rFonts w:ascii="Calibri" w:eastAsia="Calibri" w:hAnsi="Calibri" w:cs="Calibri"/>
          <w:color w:val="000000"/>
          <w:shd w:val="clear" w:color="auto" w:fill="FFFFFF"/>
        </w:rPr>
      </w:pPr>
      <w:r>
        <w:rPr>
          <w:rFonts w:ascii="Calibri" w:eastAsia="Calibri" w:hAnsi="Calibri" w:cs="Calibri"/>
          <w:color w:val="000000"/>
          <w:shd w:val="clear" w:color="auto" w:fill="FFFFFF"/>
        </w:rPr>
        <w:t>Le niveau général d’expression est assez bon, un certain nombre de copies comportent cependant une quantité inacceptable de fautes d’orthographe ou se montrent limites</w:t>
      </w:r>
      <w:r>
        <w:rPr>
          <w:rFonts w:ascii="Calibri" w:eastAsia="Calibri" w:hAnsi="Calibri" w:cs="Calibri"/>
          <w:color w:val="000000"/>
          <w:shd w:val="clear" w:color="auto" w:fill="FFFFFF"/>
        </w:rPr>
        <w:t xml:space="preserve"> sur le plan de la présentation.</w:t>
      </w:r>
    </w:p>
    <w:p w:rsidR="00017E77" w:rsidRDefault="00017E77">
      <w:pPr>
        <w:spacing w:after="200" w:line="276" w:lineRule="exact"/>
        <w:jc w:val="both"/>
        <w:rPr>
          <w:rFonts w:hint="eastAsia"/>
        </w:rPr>
      </w:pPr>
    </w:p>
    <w:sectPr w:rsidR="00017E77">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119DB"/>
    <w:multiLevelType w:val="multilevel"/>
    <w:tmpl w:val="25E664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CBE11B1"/>
    <w:multiLevelType w:val="multilevel"/>
    <w:tmpl w:val="AFD4EB5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D4B3582"/>
    <w:multiLevelType w:val="multilevel"/>
    <w:tmpl w:val="1A3835A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34D6F6E"/>
    <w:multiLevelType w:val="multilevel"/>
    <w:tmpl w:val="4C24831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useFELayout/>
    <w:compatSetting w:name="compatibilityMode" w:uri="http://schemas.microsoft.com/office/word" w:val="12"/>
  </w:compat>
  <w:rsids>
    <w:rsidRoot w:val="00017E77"/>
    <w:rsid w:val="00017E77"/>
    <w:rsid w:val="00133B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BF3B8-595D-4725-A82C-2CA9EC4A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Liberation Sans" w:eastAsia="SimSun" w:hAnsi="Liberation Sans" w:cs="Mangal"/>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eastAsia="Microsoft YaHei"/>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1542</Characters>
  <Application>Microsoft Office Word</Application>
  <DocSecurity>0</DocSecurity>
  <Lines>12</Lines>
  <Paragraphs>3</Paragraphs>
  <ScaleCrop>false</ScaleCrop>
  <Company>Hewlett-Packard Company</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Francis Gaillard</cp:lastModifiedBy>
  <cp:revision>1</cp:revision>
  <dcterms:created xsi:type="dcterms:W3CDTF">2017-12-19T10:31:00Z</dcterms:created>
  <dcterms:modified xsi:type="dcterms:W3CDTF">2017-12-19T10:32:00Z</dcterms:modified>
</cp:coreProperties>
</file>